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514E5" w:rsidRDefault="00BE63A7">
      <w:pPr>
        <w:jc w:val="center"/>
      </w:pPr>
      <w:r>
        <w:rPr>
          <w:b/>
          <w:sz w:val="34"/>
          <w:szCs w:val="34"/>
        </w:rPr>
        <w:t>Crop Diseases BMP</w:t>
      </w:r>
    </w:p>
    <w:p w:rsidR="000514E5" w:rsidRDefault="00BE63A7">
      <w:pPr>
        <w:jc w:val="center"/>
      </w:pPr>
      <w:r>
        <w:rPr>
          <w:b/>
          <w:sz w:val="28"/>
          <w:szCs w:val="28"/>
        </w:rPr>
        <w:t>Справочник по болезням и вредителям</w:t>
      </w:r>
    </w:p>
    <w:p w:rsidR="000514E5" w:rsidRDefault="00BE63A7">
      <w:r>
        <w:t>Документ собран по актуальной логике мода FS25_CropDiseases_BMP и оформлен как игровая памятка: что появляется, почему это происходит и чем лечится.</w:t>
      </w:r>
    </w:p>
    <w:p w:rsidR="000514E5" w:rsidRDefault="00BE63A7">
      <w:r>
        <w:rPr>
          <w:b/>
          <w:sz w:val="28"/>
          <w:szCs w:val="28"/>
        </w:rPr>
        <w:t>Общие правила системы</w:t>
      </w:r>
    </w:p>
    <w:tbl>
      <w:tblPr>
        <w:tblStyle w:val="a6"/>
        <w:tblW w:w="0" w:type="auto"/>
        <w:tblInd w:w="8" w:type="dxa"/>
        <w:tblLook w:val="05E0" w:firstRow="1" w:lastRow="1" w:firstColumn="1" w:lastColumn="1" w:noHBand="0" w:noVBand="1"/>
      </w:tblPr>
      <w:tblGrid>
        <w:gridCol w:w="7563"/>
        <w:gridCol w:w="7563"/>
      </w:tblGrid>
      <w:tr w:rsidR="000514E5" w:rsidTr="00BE63A7">
        <w:trPr>
          <w:trHeight w:val="259"/>
        </w:trPr>
        <w:tc>
          <w:tcPr>
            <w:tcW w:w="7563" w:type="dxa"/>
            <w:shd w:val="clear" w:color="auto" w:fill="254E7B"/>
            <w:vAlign w:val="center"/>
          </w:tcPr>
          <w:p w:rsidR="000514E5" w:rsidRPr="00BE63A7" w:rsidRDefault="00BE63A7">
            <w:pPr>
              <w:spacing w:after="60"/>
              <w:jc w:val="center"/>
            </w:pPr>
            <w:r w:rsidRPr="00BE63A7">
              <w:rPr>
                <w:b/>
                <w:color w:val="FFFFFF"/>
              </w:rPr>
              <w:t>Параметр</w:t>
            </w:r>
          </w:p>
        </w:tc>
        <w:tc>
          <w:tcPr>
            <w:tcW w:w="7563" w:type="dxa"/>
            <w:shd w:val="clear" w:color="auto" w:fill="254E7B"/>
            <w:vAlign w:val="center"/>
          </w:tcPr>
          <w:p w:rsidR="000514E5" w:rsidRPr="00BE63A7" w:rsidRDefault="00BE63A7">
            <w:pPr>
              <w:spacing w:after="60"/>
              <w:jc w:val="center"/>
            </w:pPr>
            <w:r w:rsidRPr="00BE63A7">
              <w:rPr>
                <w:b/>
                <w:color w:val="FFFFFF"/>
              </w:rPr>
              <w:t>Значение</w:t>
            </w:r>
          </w:p>
        </w:tc>
      </w:tr>
      <w:tr w:rsidR="000514E5" w:rsidTr="00BE63A7">
        <w:trPr>
          <w:trHeight w:val="340"/>
        </w:trPr>
        <w:tc>
          <w:tcPr>
            <w:tcW w:w="7563" w:type="dxa"/>
            <w:shd w:val="clear" w:color="auto" w:fill="FFFFFF"/>
            <w:vAlign w:val="center"/>
          </w:tcPr>
          <w:p w:rsidR="000514E5" w:rsidRPr="00BE63A7" w:rsidRDefault="00BE63A7">
            <w:pPr>
              <w:spacing w:after="60"/>
            </w:pPr>
            <w:r w:rsidRPr="00BE63A7">
              <w:t>Стадии заражения</w:t>
            </w:r>
          </w:p>
        </w:tc>
        <w:tc>
          <w:tcPr>
            <w:tcW w:w="7563" w:type="dxa"/>
            <w:shd w:val="clear" w:color="auto" w:fill="FFFFFF"/>
            <w:vAlign w:val="center"/>
          </w:tcPr>
          <w:p w:rsidR="000514E5" w:rsidRPr="00BE63A7" w:rsidRDefault="00BE63A7">
            <w:pPr>
              <w:spacing w:after="60"/>
              <w:jc w:val="center"/>
            </w:pPr>
            <w:r w:rsidRPr="00BE63A7">
              <w:t>0-3</w:t>
            </w:r>
          </w:p>
        </w:tc>
      </w:tr>
      <w:tr w:rsidR="000514E5" w:rsidTr="00BE63A7">
        <w:trPr>
          <w:trHeight w:val="288"/>
        </w:trPr>
        <w:tc>
          <w:tcPr>
            <w:tcW w:w="7563" w:type="dxa"/>
            <w:shd w:val="clear" w:color="auto" w:fill="F7FAFC"/>
            <w:vAlign w:val="center"/>
          </w:tcPr>
          <w:p w:rsidR="000514E5" w:rsidRPr="00BE63A7" w:rsidRDefault="00BE63A7">
            <w:pPr>
              <w:spacing w:after="60"/>
            </w:pPr>
            <w:r w:rsidRPr="00BE63A7">
              <w:t>Порог низкого риска</w:t>
            </w:r>
          </w:p>
        </w:tc>
        <w:tc>
          <w:tcPr>
            <w:tcW w:w="7563" w:type="dxa"/>
            <w:shd w:val="clear" w:color="auto" w:fill="F7FAFC"/>
            <w:vAlign w:val="center"/>
          </w:tcPr>
          <w:p w:rsidR="000514E5" w:rsidRPr="00BE63A7" w:rsidRDefault="00BE63A7">
            <w:pPr>
              <w:spacing w:after="60"/>
              <w:jc w:val="center"/>
            </w:pPr>
            <w:r w:rsidRPr="00BE63A7">
              <w:t>0.34</w:t>
            </w:r>
          </w:p>
        </w:tc>
      </w:tr>
      <w:tr w:rsidR="000514E5" w:rsidTr="00BE63A7">
        <w:trPr>
          <w:trHeight w:val="364"/>
        </w:trPr>
        <w:tc>
          <w:tcPr>
            <w:tcW w:w="7563" w:type="dxa"/>
            <w:shd w:val="clear" w:color="auto" w:fill="FFFFFF"/>
            <w:vAlign w:val="center"/>
          </w:tcPr>
          <w:p w:rsidR="000514E5" w:rsidRPr="00BE63A7" w:rsidRDefault="00BE63A7">
            <w:pPr>
              <w:spacing w:after="60"/>
            </w:pPr>
            <w:r w:rsidRPr="00BE63A7">
              <w:t>Порог среднего риска</w:t>
            </w:r>
          </w:p>
        </w:tc>
        <w:tc>
          <w:tcPr>
            <w:tcW w:w="7563" w:type="dxa"/>
            <w:shd w:val="clear" w:color="auto" w:fill="FFFFFF"/>
            <w:vAlign w:val="center"/>
          </w:tcPr>
          <w:p w:rsidR="000514E5" w:rsidRPr="00BE63A7" w:rsidRDefault="00BE63A7">
            <w:pPr>
              <w:spacing w:after="60"/>
              <w:jc w:val="center"/>
            </w:pPr>
            <w:r w:rsidRPr="00BE63A7">
              <w:t>0.50</w:t>
            </w:r>
          </w:p>
        </w:tc>
      </w:tr>
      <w:tr w:rsidR="000514E5" w:rsidTr="00BE63A7">
        <w:trPr>
          <w:trHeight w:val="552"/>
        </w:trPr>
        <w:tc>
          <w:tcPr>
            <w:tcW w:w="7563" w:type="dxa"/>
            <w:shd w:val="clear" w:color="auto" w:fill="F7FAFC"/>
            <w:vAlign w:val="center"/>
          </w:tcPr>
          <w:p w:rsidR="000514E5" w:rsidRPr="00BE63A7" w:rsidRDefault="00BE63A7">
            <w:pPr>
              <w:spacing w:after="60"/>
            </w:pPr>
            <w:r w:rsidRPr="00BE63A7">
              <w:t>Порог сильного риска</w:t>
            </w:r>
          </w:p>
        </w:tc>
        <w:tc>
          <w:tcPr>
            <w:tcW w:w="7563" w:type="dxa"/>
            <w:shd w:val="clear" w:color="auto" w:fill="F7FAFC"/>
            <w:vAlign w:val="center"/>
          </w:tcPr>
          <w:p w:rsidR="000514E5" w:rsidRPr="00BE63A7" w:rsidRDefault="00BE63A7">
            <w:pPr>
              <w:spacing w:after="60"/>
              <w:jc w:val="center"/>
            </w:pPr>
            <w:r w:rsidRPr="00BE63A7">
              <w:t>0.68</w:t>
            </w:r>
          </w:p>
        </w:tc>
      </w:tr>
      <w:tr w:rsidR="000514E5" w:rsidTr="00BE63A7">
        <w:trPr>
          <w:trHeight w:val="278"/>
        </w:trPr>
        <w:tc>
          <w:tcPr>
            <w:tcW w:w="7563" w:type="dxa"/>
            <w:shd w:val="clear" w:color="auto" w:fill="FFFFFF"/>
            <w:vAlign w:val="center"/>
          </w:tcPr>
          <w:p w:rsidR="000514E5" w:rsidRPr="00BE63A7" w:rsidRDefault="00BE63A7">
            <w:pPr>
              <w:spacing w:after="60"/>
            </w:pPr>
            <w:r w:rsidRPr="00BE63A7">
              <w:t>Порог естественного восстановления</w:t>
            </w:r>
          </w:p>
        </w:tc>
        <w:tc>
          <w:tcPr>
            <w:tcW w:w="7563" w:type="dxa"/>
            <w:shd w:val="clear" w:color="auto" w:fill="FFFFFF"/>
            <w:vAlign w:val="center"/>
          </w:tcPr>
          <w:p w:rsidR="000514E5" w:rsidRPr="00BE63A7" w:rsidRDefault="00BE63A7">
            <w:pPr>
              <w:spacing w:after="60"/>
              <w:jc w:val="center"/>
            </w:pPr>
            <w:r w:rsidRPr="00BE63A7">
              <w:t>0.22</w:t>
            </w:r>
          </w:p>
        </w:tc>
      </w:tr>
      <w:tr w:rsidR="000514E5" w:rsidTr="00BE63A7">
        <w:trPr>
          <w:trHeight w:val="552"/>
        </w:trPr>
        <w:tc>
          <w:tcPr>
            <w:tcW w:w="7563" w:type="dxa"/>
            <w:shd w:val="clear" w:color="auto" w:fill="F7FAFC"/>
            <w:vAlign w:val="center"/>
          </w:tcPr>
          <w:p w:rsidR="000514E5" w:rsidRPr="00BE63A7" w:rsidRDefault="00BE63A7">
            <w:pPr>
              <w:spacing w:after="60"/>
            </w:pPr>
            <w:r w:rsidRPr="00BE63A7">
              <w:t>Порог фонового накопления</w:t>
            </w:r>
          </w:p>
        </w:tc>
        <w:tc>
          <w:tcPr>
            <w:tcW w:w="7563" w:type="dxa"/>
            <w:shd w:val="clear" w:color="auto" w:fill="F7FAFC"/>
            <w:vAlign w:val="center"/>
          </w:tcPr>
          <w:p w:rsidR="000514E5" w:rsidRPr="00BE63A7" w:rsidRDefault="00BE63A7">
            <w:pPr>
              <w:spacing w:after="60"/>
              <w:jc w:val="center"/>
            </w:pPr>
            <w:r w:rsidRPr="00BE63A7">
              <w:t>0.12</w:t>
            </w:r>
          </w:p>
        </w:tc>
      </w:tr>
      <w:tr w:rsidR="000514E5" w:rsidTr="00BE63A7">
        <w:trPr>
          <w:trHeight w:val="552"/>
        </w:trPr>
        <w:tc>
          <w:tcPr>
            <w:tcW w:w="7563" w:type="dxa"/>
            <w:shd w:val="clear" w:color="auto" w:fill="FFFFFF"/>
            <w:vAlign w:val="center"/>
          </w:tcPr>
          <w:p w:rsidR="000514E5" w:rsidRPr="00BE63A7" w:rsidRDefault="00BE63A7">
            <w:pPr>
              <w:spacing w:after="60"/>
            </w:pPr>
            <w:r w:rsidRPr="00BE63A7">
              <w:t>Минимум дней после всходов до старта угроз</w:t>
            </w:r>
          </w:p>
        </w:tc>
        <w:tc>
          <w:tcPr>
            <w:tcW w:w="7563" w:type="dxa"/>
            <w:shd w:val="clear" w:color="auto" w:fill="FFFFFF"/>
            <w:vAlign w:val="center"/>
          </w:tcPr>
          <w:p w:rsidR="000514E5" w:rsidRPr="00BE63A7" w:rsidRDefault="00BE63A7">
            <w:pPr>
              <w:spacing w:after="60"/>
              <w:jc w:val="center"/>
            </w:pPr>
            <w:r w:rsidRPr="00BE63A7">
              <w:t>1</w:t>
            </w:r>
          </w:p>
        </w:tc>
      </w:tr>
      <w:tr w:rsidR="000514E5" w:rsidTr="00BE63A7">
        <w:trPr>
          <w:trHeight w:val="552"/>
        </w:trPr>
        <w:tc>
          <w:tcPr>
            <w:tcW w:w="7563" w:type="dxa"/>
            <w:shd w:val="clear" w:color="auto" w:fill="F7FAFC"/>
            <w:vAlign w:val="center"/>
          </w:tcPr>
          <w:p w:rsidR="000514E5" w:rsidRPr="00BE63A7" w:rsidRDefault="00BE63A7">
            <w:pPr>
              <w:spacing w:after="60"/>
            </w:pPr>
            <w:r w:rsidRPr="00BE63A7">
              <w:t>Окно низкого риска</w:t>
            </w:r>
          </w:p>
        </w:tc>
        <w:tc>
          <w:tcPr>
            <w:tcW w:w="7563" w:type="dxa"/>
            <w:shd w:val="clear" w:color="auto" w:fill="F7FAFC"/>
            <w:vAlign w:val="center"/>
          </w:tcPr>
          <w:p w:rsidR="000514E5" w:rsidRPr="00BE63A7" w:rsidRDefault="00BE63A7">
            <w:pPr>
              <w:spacing w:after="60"/>
              <w:jc w:val="center"/>
            </w:pPr>
            <w:r w:rsidRPr="00BE63A7">
              <w:t>2 дня воздействия</w:t>
            </w:r>
          </w:p>
        </w:tc>
      </w:tr>
      <w:tr w:rsidR="000514E5" w:rsidTr="00BE63A7">
        <w:trPr>
          <w:trHeight w:val="552"/>
        </w:trPr>
        <w:tc>
          <w:tcPr>
            <w:tcW w:w="7563" w:type="dxa"/>
            <w:shd w:val="clear" w:color="auto" w:fill="FFFFFF"/>
            <w:vAlign w:val="center"/>
          </w:tcPr>
          <w:p w:rsidR="000514E5" w:rsidRPr="00BE63A7" w:rsidRDefault="00BE63A7">
            <w:pPr>
              <w:spacing w:after="60"/>
            </w:pPr>
            <w:r w:rsidRPr="00BE63A7">
              <w:t>Окно среднего риска</w:t>
            </w:r>
          </w:p>
        </w:tc>
        <w:tc>
          <w:tcPr>
            <w:tcW w:w="7563" w:type="dxa"/>
            <w:shd w:val="clear" w:color="auto" w:fill="FFFFFF"/>
            <w:vAlign w:val="center"/>
          </w:tcPr>
          <w:p w:rsidR="000514E5" w:rsidRPr="00BE63A7" w:rsidRDefault="00BE63A7">
            <w:pPr>
              <w:spacing w:after="60"/>
              <w:jc w:val="center"/>
            </w:pPr>
            <w:r w:rsidRPr="00BE63A7">
              <w:t>1 день воздействия</w:t>
            </w:r>
          </w:p>
        </w:tc>
      </w:tr>
      <w:tr w:rsidR="000514E5" w:rsidTr="00BE63A7">
        <w:trPr>
          <w:trHeight w:val="552"/>
        </w:trPr>
        <w:tc>
          <w:tcPr>
            <w:tcW w:w="7563" w:type="dxa"/>
            <w:shd w:val="clear" w:color="auto" w:fill="F7FAFC"/>
            <w:vAlign w:val="center"/>
          </w:tcPr>
          <w:p w:rsidR="000514E5" w:rsidRPr="00BE63A7" w:rsidRDefault="00BE63A7">
            <w:pPr>
              <w:spacing w:after="60"/>
            </w:pPr>
            <w:r w:rsidRPr="00BE63A7">
              <w:t>Окно высокого риска</w:t>
            </w:r>
          </w:p>
        </w:tc>
        <w:tc>
          <w:tcPr>
            <w:tcW w:w="7563" w:type="dxa"/>
            <w:shd w:val="clear" w:color="auto" w:fill="F7FAFC"/>
            <w:vAlign w:val="center"/>
          </w:tcPr>
          <w:p w:rsidR="000514E5" w:rsidRPr="00BE63A7" w:rsidRDefault="00BE63A7">
            <w:pPr>
              <w:spacing w:after="60"/>
              <w:jc w:val="center"/>
            </w:pPr>
            <w:r w:rsidRPr="00BE63A7">
              <w:t>1 день воздействия</w:t>
            </w:r>
          </w:p>
        </w:tc>
      </w:tr>
      <w:tr w:rsidR="000514E5" w:rsidTr="00BE63A7">
        <w:trPr>
          <w:trHeight w:val="552"/>
        </w:trPr>
        <w:tc>
          <w:tcPr>
            <w:tcW w:w="7563" w:type="dxa"/>
            <w:shd w:val="clear" w:color="auto" w:fill="FFFFFF"/>
            <w:vAlign w:val="center"/>
          </w:tcPr>
          <w:p w:rsidR="000514E5" w:rsidRPr="00BE63A7" w:rsidRDefault="00BE63A7">
            <w:pPr>
              <w:spacing w:after="60"/>
            </w:pPr>
            <w:r w:rsidRPr="00BE63A7">
              <w:t>Фоновое окно</w:t>
            </w:r>
          </w:p>
        </w:tc>
        <w:tc>
          <w:tcPr>
            <w:tcW w:w="7563" w:type="dxa"/>
            <w:shd w:val="clear" w:color="auto" w:fill="FFFFFF"/>
            <w:vAlign w:val="center"/>
          </w:tcPr>
          <w:p w:rsidR="000514E5" w:rsidRPr="00BE63A7" w:rsidRDefault="00BE63A7">
            <w:pPr>
              <w:spacing w:after="60"/>
              <w:jc w:val="center"/>
            </w:pPr>
            <w:r w:rsidRPr="00BE63A7">
              <w:t>4 дня воздействия</w:t>
            </w:r>
          </w:p>
        </w:tc>
      </w:tr>
      <w:tr w:rsidR="000514E5" w:rsidTr="00BE63A7">
        <w:trPr>
          <w:trHeight w:val="552"/>
        </w:trPr>
        <w:tc>
          <w:tcPr>
            <w:tcW w:w="7563" w:type="dxa"/>
            <w:shd w:val="clear" w:color="auto" w:fill="F7FAFC"/>
            <w:vAlign w:val="center"/>
          </w:tcPr>
          <w:p w:rsidR="000514E5" w:rsidRPr="00BE63A7" w:rsidRDefault="00BE63A7">
            <w:pPr>
              <w:spacing w:after="60"/>
            </w:pPr>
            <w:r w:rsidRPr="00BE63A7">
              <w:t>Базовый шанс заражения в день</w:t>
            </w:r>
          </w:p>
        </w:tc>
        <w:tc>
          <w:tcPr>
            <w:tcW w:w="7563" w:type="dxa"/>
            <w:shd w:val="clear" w:color="auto" w:fill="F7FAFC"/>
            <w:vAlign w:val="center"/>
          </w:tcPr>
          <w:p w:rsidR="000514E5" w:rsidRPr="00BE63A7" w:rsidRDefault="00BE63A7">
            <w:pPr>
              <w:spacing w:after="60"/>
              <w:jc w:val="center"/>
            </w:pPr>
            <w:r w:rsidRPr="00BE63A7">
              <w:t>0.38</w:t>
            </w:r>
          </w:p>
        </w:tc>
      </w:tr>
      <w:tr w:rsidR="000514E5" w:rsidTr="00BE63A7">
        <w:trPr>
          <w:trHeight w:val="552"/>
        </w:trPr>
        <w:tc>
          <w:tcPr>
            <w:tcW w:w="7563" w:type="dxa"/>
            <w:shd w:val="clear" w:color="auto" w:fill="FFFFFF"/>
            <w:vAlign w:val="center"/>
          </w:tcPr>
          <w:p w:rsidR="000514E5" w:rsidRPr="00BE63A7" w:rsidRDefault="00BE63A7">
            <w:pPr>
              <w:spacing w:after="60"/>
            </w:pPr>
            <w:r w:rsidRPr="00BE63A7">
              <w:t>Дополнительный рост шанса от риска</w:t>
            </w:r>
          </w:p>
        </w:tc>
        <w:tc>
          <w:tcPr>
            <w:tcW w:w="7563" w:type="dxa"/>
            <w:shd w:val="clear" w:color="auto" w:fill="FFFFFF"/>
            <w:vAlign w:val="center"/>
          </w:tcPr>
          <w:p w:rsidR="000514E5" w:rsidRPr="00BE63A7" w:rsidRDefault="00BE63A7">
            <w:pPr>
              <w:spacing w:after="60"/>
              <w:jc w:val="center"/>
            </w:pPr>
            <w:r w:rsidRPr="00BE63A7">
              <w:t>0.65</w:t>
            </w:r>
          </w:p>
        </w:tc>
      </w:tr>
      <w:tr w:rsidR="000514E5" w:rsidTr="00BE63A7">
        <w:trPr>
          <w:trHeight w:val="552"/>
        </w:trPr>
        <w:tc>
          <w:tcPr>
            <w:tcW w:w="7563" w:type="dxa"/>
            <w:shd w:val="clear" w:color="auto" w:fill="F7FAFC"/>
            <w:vAlign w:val="center"/>
          </w:tcPr>
          <w:p w:rsidR="000514E5" w:rsidRPr="00BE63A7" w:rsidRDefault="00BE63A7">
            <w:pPr>
              <w:spacing w:after="60"/>
            </w:pPr>
            <w:r w:rsidRPr="00BE63A7">
              <w:t>Базовый шанс фонового заражения</w:t>
            </w:r>
          </w:p>
        </w:tc>
        <w:tc>
          <w:tcPr>
            <w:tcW w:w="7563" w:type="dxa"/>
            <w:shd w:val="clear" w:color="auto" w:fill="F7FAFC"/>
            <w:vAlign w:val="center"/>
          </w:tcPr>
          <w:p w:rsidR="000514E5" w:rsidRPr="00BE63A7" w:rsidRDefault="00BE63A7">
            <w:pPr>
              <w:spacing w:after="60"/>
              <w:jc w:val="center"/>
            </w:pPr>
            <w:r w:rsidRPr="00BE63A7">
              <w:t>0.08</w:t>
            </w:r>
          </w:p>
        </w:tc>
      </w:tr>
      <w:tr w:rsidR="000514E5" w:rsidTr="00BE63A7">
        <w:trPr>
          <w:trHeight w:val="552"/>
        </w:trPr>
        <w:tc>
          <w:tcPr>
            <w:tcW w:w="7563" w:type="dxa"/>
            <w:shd w:val="clear" w:color="auto" w:fill="FFFFFF"/>
            <w:vAlign w:val="center"/>
          </w:tcPr>
          <w:p w:rsidR="000514E5" w:rsidRPr="00BE63A7" w:rsidRDefault="00BE63A7">
            <w:pPr>
              <w:spacing w:after="60"/>
            </w:pPr>
            <w:r w:rsidRPr="00BE63A7">
              <w:t>Рост фонового шанса от риска</w:t>
            </w:r>
          </w:p>
        </w:tc>
        <w:tc>
          <w:tcPr>
            <w:tcW w:w="7563" w:type="dxa"/>
            <w:shd w:val="clear" w:color="auto" w:fill="FFFFFF"/>
            <w:vAlign w:val="center"/>
          </w:tcPr>
          <w:p w:rsidR="000514E5" w:rsidRPr="00BE63A7" w:rsidRDefault="00BE63A7">
            <w:pPr>
              <w:spacing w:after="60"/>
              <w:jc w:val="center"/>
            </w:pPr>
            <w:r w:rsidRPr="00BE63A7">
              <w:t>0.18</w:t>
            </w:r>
          </w:p>
        </w:tc>
      </w:tr>
      <w:tr w:rsidR="000514E5" w:rsidTr="00BE63A7">
        <w:trPr>
          <w:trHeight w:val="552"/>
        </w:trPr>
        <w:tc>
          <w:tcPr>
            <w:tcW w:w="7563" w:type="dxa"/>
            <w:shd w:val="clear" w:color="auto" w:fill="F7FAFC"/>
            <w:vAlign w:val="center"/>
          </w:tcPr>
          <w:p w:rsidR="000514E5" w:rsidRPr="00BE63A7" w:rsidRDefault="00BE63A7">
            <w:pPr>
              <w:spacing w:after="60"/>
            </w:pPr>
            <w:r w:rsidRPr="00BE63A7">
              <w:t>Опасная потеря урожая начинается</w:t>
            </w:r>
          </w:p>
        </w:tc>
        <w:tc>
          <w:tcPr>
            <w:tcW w:w="7563" w:type="dxa"/>
            <w:shd w:val="clear" w:color="auto" w:fill="F7FAFC"/>
            <w:vAlign w:val="center"/>
          </w:tcPr>
          <w:p w:rsidR="000514E5" w:rsidRPr="00BE63A7" w:rsidRDefault="00BE63A7">
            <w:pPr>
              <w:spacing w:after="60"/>
              <w:jc w:val="center"/>
            </w:pPr>
            <w:r w:rsidRPr="00BE63A7">
              <w:t>Со стадии 2 при риске от 0.58</w:t>
            </w:r>
          </w:p>
        </w:tc>
      </w:tr>
    </w:tbl>
    <w:p w:rsidR="000514E5" w:rsidRDefault="00BE63A7">
      <w:r>
        <w:rPr>
          <w:b/>
          <w:sz w:val="28"/>
          <w:szCs w:val="28"/>
        </w:rPr>
        <w:lastRenderedPageBreak/>
        <w:t>Обозначения факторов риска</w:t>
      </w:r>
    </w:p>
    <w:tbl>
      <w:tblPr>
        <w:tblStyle w:val="a6"/>
        <w:tblW w:w="0" w:type="auto"/>
        <w:tblInd w:w="8" w:type="dxa"/>
        <w:tblLook w:val="05E0" w:firstRow="1" w:lastRow="1" w:firstColumn="1" w:lastColumn="1" w:noHBand="0" w:noVBand="1"/>
      </w:tblPr>
      <w:tblGrid>
        <w:gridCol w:w="6409"/>
        <w:gridCol w:w="8735"/>
      </w:tblGrid>
      <w:tr w:rsidR="000514E5">
        <w:trPr>
          <w:trHeight w:val="486"/>
        </w:trPr>
        <w:tc>
          <w:tcPr>
            <w:tcW w:w="6409" w:type="dxa"/>
            <w:shd w:val="clear" w:color="auto" w:fill="254E7B"/>
            <w:vAlign w:val="center"/>
          </w:tcPr>
          <w:p w:rsidR="000514E5" w:rsidRDefault="00BE63A7">
            <w:pPr>
              <w:spacing w:after="60"/>
              <w:jc w:val="center"/>
            </w:pPr>
            <w:r>
              <w:rPr>
                <w:b/>
                <w:color w:val="FFFFFF"/>
              </w:rPr>
              <w:t>Фактор</w:t>
            </w:r>
          </w:p>
        </w:tc>
        <w:tc>
          <w:tcPr>
            <w:tcW w:w="8735" w:type="dxa"/>
            <w:shd w:val="clear" w:color="auto" w:fill="254E7B"/>
            <w:vAlign w:val="center"/>
          </w:tcPr>
          <w:p w:rsidR="000514E5" w:rsidRDefault="00BE63A7">
            <w:pPr>
              <w:spacing w:after="60"/>
              <w:jc w:val="center"/>
            </w:pPr>
            <w:r>
              <w:rPr>
                <w:b/>
                <w:color w:val="FFFFFF"/>
              </w:rPr>
              <w:t>Что означает</w:t>
            </w:r>
          </w:p>
        </w:tc>
      </w:tr>
      <w:tr w:rsidR="000514E5">
        <w:trPr>
          <w:trHeight w:val="520"/>
        </w:trPr>
        <w:tc>
          <w:tcPr>
            <w:tcW w:w="6409" w:type="dxa"/>
            <w:shd w:val="clear" w:color="auto" w:fill="FFFFFF"/>
            <w:vAlign w:val="center"/>
          </w:tcPr>
          <w:p w:rsidR="000514E5" w:rsidRDefault="00BE63A7">
            <w:pPr>
              <w:spacing w:after="60"/>
            </w:pPr>
            <w:r>
              <w:t>spray</w:t>
            </w:r>
          </w:p>
        </w:tc>
        <w:tc>
          <w:tcPr>
            <w:tcW w:w="8735" w:type="dxa"/>
            <w:shd w:val="clear" w:color="auto" w:fill="FFFFFF"/>
            <w:vAlign w:val="center"/>
          </w:tcPr>
          <w:p w:rsidR="000514E5" w:rsidRDefault="00BE63A7">
            <w:pPr>
              <w:spacing w:after="60"/>
              <w:jc w:val="center"/>
            </w:pPr>
            <w:r>
              <w:t>Недостаток правильной обработки опрыскивателем. Для вредителей через sprayer нужен именно инсектицид.</w:t>
            </w:r>
          </w:p>
        </w:tc>
      </w:tr>
      <w:tr w:rsidR="000514E5">
        <w:trPr>
          <w:trHeight w:val="520"/>
        </w:trPr>
        <w:tc>
          <w:tcPr>
            <w:tcW w:w="6409" w:type="dxa"/>
            <w:shd w:val="clear" w:color="auto" w:fill="F7FAFC"/>
            <w:vAlign w:val="center"/>
          </w:tcPr>
          <w:p w:rsidR="000514E5" w:rsidRDefault="00BE63A7">
            <w:pPr>
              <w:spacing w:after="60"/>
            </w:pPr>
            <w:r>
              <w:t>water</w:t>
            </w:r>
          </w:p>
        </w:tc>
        <w:tc>
          <w:tcPr>
            <w:tcW w:w="8735" w:type="dxa"/>
            <w:shd w:val="clear" w:color="auto" w:fill="F7FAFC"/>
            <w:vAlign w:val="center"/>
          </w:tcPr>
          <w:p w:rsidR="000514E5" w:rsidRDefault="00BE63A7">
            <w:pPr>
              <w:spacing w:after="60"/>
              <w:jc w:val="center"/>
            </w:pPr>
            <w:r>
              <w:t>Проблемы с влагой: переувлажнение и условия, благоприятные для болезней.</w:t>
            </w:r>
          </w:p>
        </w:tc>
      </w:tr>
      <w:tr w:rsidR="000514E5">
        <w:trPr>
          <w:trHeight w:val="520"/>
        </w:trPr>
        <w:tc>
          <w:tcPr>
            <w:tcW w:w="6409" w:type="dxa"/>
            <w:shd w:val="clear" w:color="auto" w:fill="FFFFFF"/>
            <w:vAlign w:val="center"/>
          </w:tcPr>
          <w:p w:rsidR="000514E5" w:rsidRDefault="00BE63A7">
            <w:pPr>
              <w:spacing w:after="60"/>
            </w:pPr>
            <w:r>
              <w:t>weed</w:t>
            </w:r>
          </w:p>
        </w:tc>
        <w:tc>
          <w:tcPr>
            <w:tcW w:w="8735" w:type="dxa"/>
            <w:shd w:val="clear" w:color="auto" w:fill="FFFFFF"/>
            <w:vAlign w:val="center"/>
          </w:tcPr>
          <w:p w:rsidR="000514E5" w:rsidRDefault="00BE63A7">
            <w:pPr>
              <w:spacing w:after="60"/>
              <w:jc w:val="center"/>
            </w:pPr>
            <w:r>
              <w:t>Наличие сорняков или слабый контроль засоренности.</w:t>
            </w:r>
          </w:p>
        </w:tc>
      </w:tr>
      <w:tr w:rsidR="000514E5">
        <w:trPr>
          <w:trHeight w:val="520"/>
        </w:trPr>
        <w:tc>
          <w:tcPr>
            <w:tcW w:w="6409" w:type="dxa"/>
            <w:shd w:val="clear" w:color="auto" w:fill="F7FAFC"/>
            <w:vAlign w:val="center"/>
          </w:tcPr>
          <w:p w:rsidR="000514E5" w:rsidRDefault="00BE63A7">
            <w:pPr>
              <w:spacing w:after="60"/>
            </w:pPr>
            <w:r>
              <w:t>stubble</w:t>
            </w:r>
          </w:p>
        </w:tc>
        <w:tc>
          <w:tcPr>
            <w:tcW w:w="8735" w:type="dxa"/>
            <w:shd w:val="clear" w:color="auto" w:fill="F7FAFC"/>
            <w:vAlign w:val="center"/>
          </w:tcPr>
          <w:p w:rsidR="000514E5" w:rsidRDefault="00BE63A7">
            <w:pPr>
              <w:spacing w:after="60"/>
              <w:jc w:val="center"/>
            </w:pPr>
            <w:r>
              <w:t>Пожнивные остатки, стерня и плохая санитарная очистка поля.</w:t>
            </w:r>
          </w:p>
        </w:tc>
      </w:tr>
      <w:tr w:rsidR="000514E5">
        <w:trPr>
          <w:trHeight w:val="520"/>
        </w:trPr>
        <w:tc>
          <w:tcPr>
            <w:tcW w:w="6409" w:type="dxa"/>
            <w:shd w:val="clear" w:color="auto" w:fill="FFFFFF"/>
            <w:vAlign w:val="center"/>
          </w:tcPr>
          <w:p w:rsidR="000514E5" w:rsidRDefault="00BE63A7">
            <w:pPr>
              <w:spacing w:after="60"/>
            </w:pPr>
            <w:r>
              <w:t>plow</w:t>
            </w:r>
          </w:p>
        </w:tc>
        <w:tc>
          <w:tcPr>
            <w:tcW w:w="8735" w:type="dxa"/>
            <w:shd w:val="clear" w:color="auto" w:fill="FFFFFF"/>
            <w:vAlign w:val="center"/>
          </w:tcPr>
          <w:p w:rsidR="000514E5" w:rsidRDefault="00BE63A7">
            <w:pPr>
              <w:spacing w:after="60"/>
              <w:jc w:val="center"/>
            </w:pPr>
            <w:r>
              <w:t>Отсутствие вспашки там, где она снижает риск заражения и личинок.</w:t>
            </w:r>
          </w:p>
        </w:tc>
      </w:tr>
      <w:tr w:rsidR="000514E5">
        <w:trPr>
          <w:trHeight w:val="520"/>
        </w:trPr>
        <w:tc>
          <w:tcPr>
            <w:tcW w:w="6409" w:type="dxa"/>
            <w:shd w:val="clear" w:color="auto" w:fill="F7FAFC"/>
            <w:vAlign w:val="center"/>
          </w:tcPr>
          <w:p w:rsidR="000514E5" w:rsidRDefault="00BE63A7">
            <w:pPr>
              <w:spacing w:after="60"/>
            </w:pPr>
            <w:r>
              <w:t>lime</w:t>
            </w:r>
          </w:p>
        </w:tc>
        <w:tc>
          <w:tcPr>
            <w:tcW w:w="8735" w:type="dxa"/>
            <w:shd w:val="clear" w:color="auto" w:fill="F7FAFC"/>
            <w:vAlign w:val="center"/>
          </w:tcPr>
          <w:p w:rsidR="000514E5" w:rsidRDefault="00BE63A7">
            <w:pPr>
              <w:spacing w:after="60"/>
              <w:jc w:val="center"/>
            </w:pPr>
            <w:r>
              <w:t>Отсутствие известкования на чувствительных культурах и уча</w:t>
            </w:r>
            <w:r>
              <w:t>стках.</w:t>
            </w:r>
          </w:p>
        </w:tc>
      </w:tr>
      <w:tr w:rsidR="000514E5">
        <w:trPr>
          <w:trHeight w:val="520"/>
        </w:trPr>
        <w:tc>
          <w:tcPr>
            <w:tcW w:w="6409" w:type="dxa"/>
            <w:shd w:val="clear" w:color="auto" w:fill="FFFFFF"/>
            <w:vAlign w:val="center"/>
          </w:tcPr>
          <w:p w:rsidR="000514E5" w:rsidRDefault="00BE63A7">
            <w:pPr>
              <w:spacing w:after="60"/>
            </w:pPr>
            <w:r>
              <w:t>roller</w:t>
            </w:r>
          </w:p>
        </w:tc>
        <w:tc>
          <w:tcPr>
            <w:tcW w:w="8735" w:type="dxa"/>
            <w:shd w:val="clear" w:color="auto" w:fill="FFFFFF"/>
            <w:vAlign w:val="center"/>
          </w:tcPr>
          <w:p w:rsidR="000514E5" w:rsidRDefault="00BE63A7">
            <w:pPr>
              <w:spacing w:after="60"/>
              <w:jc w:val="center"/>
            </w:pPr>
            <w:r>
              <w:t>Отсутствие прикатывания там, где оно уменьшает риск вредителей.</w:t>
            </w:r>
          </w:p>
        </w:tc>
      </w:tr>
    </w:tbl>
    <w:p w:rsidR="000514E5" w:rsidRDefault="00BE63A7"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t>Окна развития культур</w:t>
      </w:r>
    </w:p>
    <w:tbl>
      <w:tblPr>
        <w:tblStyle w:val="a6"/>
        <w:tblW w:w="0" w:type="auto"/>
        <w:tblInd w:w="8" w:type="dxa"/>
        <w:tblLook w:val="05E0" w:firstRow="1" w:lastRow="1" w:firstColumn="1" w:lastColumn="1" w:noHBand="0" w:noVBand="1"/>
      </w:tblPr>
      <w:tblGrid>
        <w:gridCol w:w="7553"/>
        <w:gridCol w:w="7553"/>
      </w:tblGrid>
      <w:tr w:rsidR="000514E5">
        <w:trPr>
          <w:trHeight w:val="486"/>
        </w:trPr>
        <w:tc>
          <w:tcPr>
            <w:tcW w:w="7553" w:type="dxa"/>
            <w:shd w:val="clear" w:color="auto" w:fill="254E7B"/>
            <w:vAlign w:val="center"/>
          </w:tcPr>
          <w:p w:rsidR="000514E5" w:rsidRDefault="00BE63A7">
            <w:pPr>
              <w:spacing w:after="60"/>
              <w:jc w:val="center"/>
            </w:pPr>
            <w:r>
              <w:rPr>
                <w:b/>
                <w:color w:val="FFFFFF"/>
              </w:rPr>
              <w:t>Код</w:t>
            </w:r>
          </w:p>
        </w:tc>
        <w:tc>
          <w:tcPr>
            <w:tcW w:w="7553" w:type="dxa"/>
            <w:shd w:val="clear" w:color="auto" w:fill="254E7B"/>
            <w:vAlign w:val="center"/>
          </w:tcPr>
          <w:p w:rsidR="000514E5" w:rsidRDefault="00BE63A7">
            <w:pPr>
              <w:spacing w:after="60"/>
              <w:jc w:val="center"/>
            </w:pPr>
            <w:r>
              <w:rPr>
                <w:b/>
                <w:color w:val="FFFFFF"/>
              </w:rPr>
              <w:t>Русское название</w:t>
            </w:r>
          </w:p>
        </w:tc>
      </w:tr>
      <w:tr w:rsidR="000514E5">
        <w:trPr>
          <w:trHeight w:val="520"/>
        </w:trPr>
        <w:tc>
          <w:tcPr>
            <w:tcW w:w="7553" w:type="dxa"/>
            <w:shd w:val="clear" w:color="auto" w:fill="FFFFFF"/>
            <w:vAlign w:val="center"/>
          </w:tcPr>
          <w:p w:rsidR="000514E5" w:rsidRDefault="00BE63A7">
            <w:pPr>
              <w:spacing w:after="60"/>
            </w:pPr>
            <w:r>
              <w:t>early</w:t>
            </w:r>
          </w:p>
        </w:tc>
        <w:tc>
          <w:tcPr>
            <w:tcW w:w="7553" w:type="dxa"/>
            <w:shd w:val="clear" w:color="auto" w:fill="FFFFFF"/>
            <w:vAlign w:val="center"/>
          </w:tcPr>
          <w:p w:rsidR="000514E5" w:rsidRDefault="00BE63A7">
            <w:pPr>
              <w:spacing w:after="60"/>
              <w:jc w:val="center"/>
            </w:pPr>
            <w:r>
              <w:t>Ранняя стадия</w:t>
            </w:r>
          </w:p>
        </w:tc>
      </w:tr>
      <w:tr w:rsidR="000514E5">
        <w:trPr>
          <w:trHeight w:val="520"/>
        </w:trPr>
        <w:tc>
          <w:tcPr>
            <w:tcW w:w="7553" w:type="dxa"/>
            <w:shd w:val="clear" w:color="auto" w:fill="F7FAFC"/>
            <w:vAlign w:val="center"/>
          </w:tcPr>
          <w:p w:rsidR="000514E5" w:rsidRDefault="00BE63A7">
            <w:pPr>
              <w:spacing w:after="60"/>
            </w:pPr>
            <w:r>
              <w:t>mid</w:t>
            </w:r>
          </w:p>
        </w:tc>
        <w:tc>
          <w:tcPr>
            <w:tcW w:w="7553" w:type="dxa"/>
            <w:shd w:val="clear" w:color="auto" w:fill="F7FAFC"/>
            <w:vAlign w:val="center"/>
          </w:tcPr>
          <w:p w:rsidR="000514E5" w:rsidRDefault="00BE63A7">
            <w:pPr>
              <w:spacing w:after="60"/>
              <w:jc w:val="center"/>
            </w:pPr>
            <w:r>
              <w:t>Средняя стадия</w:t>
            </w:r>
          </w:p>
        </w:tc>
      </w:tr>
      <w:tr w:rsidR="000514E5">
        <w:trPr>
          <w:trHeight w:val="520"/>
        </w:trPr>
        <w:tc>
          <w:tcPr>
            <w:tcW w:w="7553" w:type="dxa"/>
            <w:shd w:val="clear" w:color="auto" w:fill="FFFFFF"/>
            <w:vAlign w:val="center"/>
          </w:tcPr>
          <w:p w:rsidR="000514E5" w:rsidRDefault="00BE63A7">
            <w:pPr>
              <w:spacing w:after="60"/>
            </w:pPr>
            <w:r>
              <w:t>late</w:t>
            </w:r>
          </w:p>
        </w:tc>
        <w:tc>
          <w:tcPr>
            <w:tcW w:w="7553" w:type="dxa"/>
            <w:shd w:val="clear" w:color="auto" w:fill="FFFFFF"/>
            <w:vAlign w:val="center"/>
          </w:tcPr>
          <w:p w:rsidR="000514E5" w:rsidRDefault="00BE63A7">
            <w:pPr>
              <w:spacing w:after="60"/>
              <w:jc w:val="center"/>
            </w:pPr>
            <w:r>
              <w:t>Поздняя стадия</w:t>
            </w:r>
          </w:p>
        </w:tc>
      </w:tr>
      <w:tr w:rsidR="000514E5">
        <w:trPr>
          <w:trHeight w:val="520"/>
        </w:trPr>
        <w:tc>
          <w:tcPr>
            <w:tcW w:w="7553" w:type="dxa"/>
            <w:shd w:val="clear" w:color="auto" w:fill="F7FAFC"/>
            <w:vAlign w:val="center"/>
          </w:tcPr>
          <w:p w:rsidR="000514E5" w:rsidRDefault="00BE63A7">
            <w:pPr>
              <w:spacing w:after="60"/>
            </w:pPr>
            <w:r>
              <w:t>harvest</w:t>
            </w:r>
          </w:p>
        </w:tc>
        <w:tc>
          <w:tcPr>
            <w:tcW w:w="7553" w:type="dxa"/>
            <w:shd w:val="clear" w:color="auto" w:fill="F7FAFC"/>
            <w:vAlign w:val="center"/>
          </w:tcPr>
          <w:p w:rsidR="000514E5" w:rsidRDefault="00BE63A7">
            <w:pPr>
              <w:spacing w:after="60"/>
              <w:jc w:val="center"/>
            </w:pPr>
            <w:r>
              <w:t>Предуборочная или уборочная стадия</w:t>
            </w:r>
          </w:p>
        </w:tc>
      </w:tr>
      <w:tr w:rsidR="000514E5">
        <w:trPr>
          <w:trHeight w:val="520"/>
        </w:trPr>
        <w:tc>
          <w:tcPr>
            <w:tcW w:w="7553" w:type="dxa"/>
            <w:shd w:val="clear" w:color="auto" w:fill="FFFFFF"/>
            <w:vAlign w:val="center"/>
          </w:tcPr>
          <w:p w:rsidR="000514E5" w:rsidRDefault="00BE63A7">
            <w:pPr>
              <w:spacing w:after="60"/>
            </w:pPr>
            <w:r>
              <w:t>harvest_ready</w:t>
            </w:r>
          </w:p>
        </w:tc>
        <w:tc>
          <w:tcPr>
            <w:tcW w:w="7553" w:type="dxa"/>
            <w:shd w:val="clear" w:color="auto" w:fill="FFFFFF"/>
            <w:vAlign w:val="center"/>
          </w:tcPr>
          <w:p w:rsidR="000514E5" w:rsidRDefault="00BE63A7">
            <w:pPr>
              <w:spacing w:after="60"/>
              <w:jc w:val="center"/>
            </w:pPr>
            <w:r>
              <w:t>Только на этой стадии может появляться засохший вариант культуры</w:t>
            </w:r>
          </w:p>
        </w:tc>
      </w:tr>
    </w:tbl>
    <w:p w:rsidR="000514E5" w:rsidRDefault="00BE63A7"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lastRenderedPageBreak/>
        <w:br/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t>Полная таблица угроз</w:t>
      </w:r>
    </w:p>
    <w:tbl>
      <w:tblPr>
        <w:tblStyle w:val="a6"/>
        <w:tblW w:w="0" w:type="auto"/>
        <w:tblInd w:w="8" w:type="dxa"/>
        <w:tblLook w:val="05E0" w:firstRow="1" w:lastRow="1" w:firstColumn="1" w:lastColumn="1" w:noHBand="0" w:noVBand="1"/>
      </w:tblPr>
      <w:tblGrid>
        <w:gridCol w:w="2533"/>
        <w:gridCol w:w="2533"/>
        <w:gridCol w:w="2533"/>
        <w:gridCol w:w="2533"/>
        <w:gridCol w:w="2533"/>
        <w:gridCol w:w="2533"/>
      </w:tblGrid>
      <w:tr w:rsidR="00BE63A7" w:rsidTr="00BE63A7">
        <w:trPr>
          <w:trHeight w:val="496"/>
        </w:trPr>
        <w:tc>
          <w:tcPr>
            <w:tcW w:w="2533" w:type="dxa"/>
            <w:shd w:val="clear" w:color="auto" w:fill="254E7B"/>
            <w:vAlign w:val="center"/>
          </w:tcPr>
          <w:p w:rsidR="00BE63A7" w:rsidRDefault="00BE63A7">
            <w:pPr>
              <w:spacing w:after="60"/>
              <w:jc w:val="center"/>
            </w:pPr>
            <w:r>
              <w:rPr>
                <w:b/>
                <w:color w:val="FFFFFF"/>
              </w:rPr>
              <w:t>Угроза</w:t>
            </w:r>
          </w:p>
        </w:tc>
        <w:tc>
          <w:tcPr>
            <w:tcW w:w="2533" w:type="dxa"/>
            <w:shd w:val="clear" w:color="auto" w:fill="254E7B"/>
            <w:vAlign w:val="center"/>
          </w:tcPr>
          <w:p w:rsidR="00BE63A7" w:rsidRDefault="00BE63A7">
            <w:pPr>
              <w:spacing w:after="60"/>
              <w:jc w:val="center"/>
            </w:pPr>
            <w:r>
              <w:rPr>
                <w:b/>
                <w:color w:val="FFFFFF"/>
              </w:rPr>
              <w:t>Тип</w:t>
            </w:r>
          </w:p>
        </w:tc>
        <w:tc>
          <w:tcPr>
            <w:tcW w:w="2533" w:type="dxa"/>
            <w:shd w:val="clear" w:color="auto" w:fill="254E7B"/>
            <w:vAlign w:val="center"/>
          </w:tcPr>
          <w:p w:rsidR="00BE63A7" w:rsidRDefault="00BE63A7">
            <w:pPr>
              <w:spacing w:after="60"/>
              <w:jc w:val="center"/>
            </w:pPr>
            <w:r>
              <w:rPr>
                <w:b/>
                <w:color w:val="FFFFFF"/>
              </w:rPr>
              <w:t>Культуры</w:t>
            </w:r>
          </w:p>
        </w:tc>
        <w:tc>
          <w:tcPr>
            <w:tcW w:w="2533" w:type="dxa"/>
            <w:shd w:val="clear" w:color="auto" w:fill="254E7B"/>
            <w:vAlign w:val="center"/>
          </w:tcPr>
          <w:p w:rsidR="00BE63A7" w:rsidRDefault="00BE63A7">
            <w:pPr>
              <w:spacing w:after="60"/>
              <w:jc w:val="center"/>
            </w:pPr>
            <w:r>
              <w:rPr>
                <w:b/>
                <w:color w:val="FFFFFF"/>
              </w:rPr>
              <w:t>Когда появляется</w:t>
            </w:r>
          </w:p>
        </w:tc>
        <w:tc>
          <w:tcPr>
            <w:tcW w:w="2533" w:type="dxa"/>
            <w:shd w:val="clear" w:color="auto" w:fill="254E7B"/>
            <w:vAlign w:val="center"/>
          </w:tcPr>
          <w:p w:rsidR="00BE63A7" w:rsidRDefault="00BE63A7">
            <w:pPr>
              <w:spacing w:after="60"/>
              <w:jc w:val="center"/>
            </w:pPr>
            <w:r>
              <w:rPr>
                <w:b/>
                <w:color w:val="FFFFFF"/>
              </w:rPr>
              <w:t>Основные причины</w:t>
            </w:r>
          </w:p>
        </w:tc>
        <w:tc>
          <w:tcPr>
            <w:tcW w:w="2533" w:type="dxa"/>
            <w:shd w:val="clear" w:color="auto" w:fill="254E7B"/>
            <w:vAlign w:val="center"/>
          </w:tcPr>
          <w:p w:rsidR="00BE63A7" w:rsidRDefault="00BE63A7">
            <w:pPr>
              <w:spacing w:after="60"/>
              <w:jc w:val="center"/>
            </w:pPr>
            <w:r>
              <w:rPr>
                <w:b/>
                <w:color w:val="FFFFFF"/>
              </w:rPr>
              <w:t>Чем лечится</w:t>
            </w:r>
          </w:p>
        </w:tc>
      </w:tr>
      <w:tr w:rsidR="00BE63A7" w:rsidTr="00BE63A7">
        <w:trPr>
          <w:trHeight w:val="531"/>
        </w:trPr>
        <w:tc>
          <w:tcPr>
            <w:tcW w:w="2533" w:type="dxa"/>
            <w:shd w:val="clear" w:color="auto" w:fill="F4F8FC"/>
            <w:vAlign w:val="center"/>
          </w:tcPr>
          <w:p w:rsidR="00BE63A7" w:rsidRDefault="00BE63A7">
            <w:pPr>
              <w:spacing w:after="60"/>
            </w:pPr>
            <w:r>
              <w:t>Мучнистая роса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>
            <w:pPr>
              <w:spacing w:after="60"/>
              <w:jc w:val="center"/>
            </w:pPr>
            <w:r>
              <w:t>Болезнь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Виноград, подсолнечник, соя, хлопок, оливки, рапс, фасоль, горох, шпинат, рис, длиннозерный рис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Ранняя, средняя, поздняя, уборочная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Недостаток опрыскивания, влага, сорняки, стерня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Опрыскиватель</w:t>
            </w:r>
          </w:p>
        </w:tc>
      </w:tr>
      <w:tr w:rsidR="00BE63A7" w:rsidTr="00BE63A7">
        <w:trPr>
          <w:trHeight w:val="531"/>
        </w:trPr>
        <w:tc>
          <w:tcPr>
            <w:tcW w:w="2533" w:type="dxa"/>
            <w:shd w:val="clear" w:color="auto" w:fill="F4F8FC"/>
            <w:vAlign w:val="center"/>
          </w:tcPr>
          <w:p w:rsidR="00BE63A7" w:rsidRDefault="00BE63A7">
            <w:pPr>
              <w:spacing w:after="60"/>
            </w:pPr>
            <w:r>
              <w:t>Ржавчина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>
            <w:pPr>
              <w:spacing w:after="60"/>
              <w:jc w:val="center"/>
            </w:pPr>
            <w:r>
              <w:t>Болезнь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Пшеница, ячмень, рожь, овес, кукуруза, сорго, подсолнечник, рапс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Ранняя, средняя, поздняя, уборочная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Недостаток опрыскивания, сорняки, влага, стерня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Опрыскиватель</w:t>
            </w:r>
          </w:p>
        </w:tc>
      </w:tr>
      <w:tr w:rsidR="00BE63A7" w:rsidTr="00BE63A7">
        <w:trPr>
          <w:trHeight w:val="531"/>
        </w:trPr>
        <w:tc>
          <w:tcPr>
            <w:tcW w:w="2533" w:type="dxa"/>
            <w:shd w:val="clear" w:color="auto" w:fill="F4F8FC"/>
            <w:vAlign w:val="center"/>
          </w:tcPr>
          <w:p w:rsidR="00BE63A7" w:rsidRDefault="00BE63A7">
            <w:pPr>
              <w:spacing w:after="60"/>
            </w:pPr>
            <w:r>
              <w:t>Септориоз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>
            <w:pPr>
              <w:spacing w:after="60"/>
              <w:jc w:val="center"/>
            </w:pPr>
            <w:r>
              <w:t>Болезнь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Пшеница, ячмень, овес, рожь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Средняя, поздняя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Стерня, влага, недостаток опрыскивания, сорняки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Опрыскиватель,</w:t>
            </w:r>
          </w:p>
        </w:tc>
      </w:tr>
      <w:tr w:rsidR="00BE63A7" w:rsidTr="00BE63A7">
        <w:trPr>
          <w:trHeight w:val="531"/>
        </w:trPr>
        <w:tc>
          <w:tcPr>
            <w:tcW w:w="2533" w:type="dxa"/>
            <w:shd w:val="clear" w:color="auto" w:fill="F4F8FC"/>
            <w:vAlign w:val="center"/>
          </w:tcPr>
          <w:p w:rsidR="00BE63A7" w:rsidRDefault="00BE63A7">
            <w:pPr>
              <w:spacing w:after="60"/>
            </w:pPr>
            <w:r>
              <w:t>Корневая гниль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>
            <w:pPr>
              <w:spacing w:after="60"/>
              <w:jc w:val="center"/>
            </w:pPr>
            <w:r>
              <w:t>Болезнь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Картофель, сахарная свекла, соя, столовая свекла, морковь, пастернак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Ранняя, средняя, поздняя, уборочная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Влага, отсутствие вспашки, нехватка известкования, слабая обработка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Плуг, культиватор</w:t>
            </w:r>
          </w:p>
        </w:tc>
      </w:tr>
      <w:tr w:rsidR="00BE63A7" w:rsidTr="00BE63A7">
        <w:trPr>
          <w:trHeight w:val="531"/>
        </w:trPr>
        <w:tc>
          <w:tcPr>
            <w:tcW w:w="2533" w:type="dxa"/>
            <w:shd w:val="clear" w:color="auto" w:fill="F4F8FC"/>
            <w:vAlign w:val="center"/>
          </w:tcPr>
          <w:p w:rsidR="00BE63A7" w:rsidRDefault="00BE63A7">
            <w:pPr>
              <w:spacing w:after="60"/>
            </w:pPr>
            <w:r>
              <w:t>Снежная плесень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>
            <w:pPr>
              <w:spacing w:after="60"/>
              <w:jc w:val="center"/>
            </w:pPr>
            <w:r>
              <w:t>Болезнь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Пшеница, ячмень, рожь, трава, овес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Ранняя, средняя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Влага, стерня, недостаток опрыскивания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Опрыскиватель,</w:t>
            </w:r>
          </w:p>
        </w:tc>
      </w:tr>
      <w:tr w:rsidR="00BE63A7" w:rsidTr="00BE63A7">
        <w:trPr>
          <w:trHeight w:val="531"/>
        </w:trPr>
        <w:tc>
          <w:tcPr>
            <w:tcW w:w="2533" w:type="dxa"/>
            <w:shd w:val="clear" w:color="auto" w:fill="F4F8FC"/>
            <w:vAlign w:val="center"/>
          </w:tcPr>
          <w:p w:rsidR="00BE63A7" w:rsidRDefault="00BE63A7">
            <w:pPr>
              <w:spacing w:after="60"/>
            </w:pPr>
            <w:r>
              <w:t>Фитофтороз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>
            <w:pPr>
              <w:spacing w:after="60"/>
              <w:jc w:val="center"/>
            </w:pPr>
            <w:r>
              <w:t>Болезнь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Картофель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Средняя, поздняя, уборочная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Влага, недостаток опрыскивания, сорняки</w:t>
            </w:r>
          </w:p>
        </w:tc>
        <w:tc>
          <w:tcPr>
            <w:tcW w:w="2533" w:type="dxa"/>
            <w:shd w:val="clear" w:color="auto" w:fill="F4F8FC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Опрыскиватель</w:t>
            </w:r>
          </w:p>
        </w:tc>
      </w:tr>
      <w:tr w:rsidR="00BE63A7" w:rsidTr="00BE63A7">
        <w:trPr>
          <w:trHeight w:val="531"/>
        </w:trPr>
        <w:tc>
          <w:tcPr>
            <w:tcW w:w="2533" w:type="dxa"/>
            <w:shd w:val="clear" w:color="auto" w:fill="FFF4E8"/>
            <w:vAlign w:val="center"/>
          </w:tcPr>
          <w:p w:rsidR="00BE63A7" w:rsidRDefault="00BE63A7">
            <w:pPr>
              <w:spacing w:after="60"/>
            </w:pPr>
            <w:r>
              <w:t>Тля</w:t>
            </w:r>
          </w:p>
        </w:tc>
        <w:tc>
          <w:tcPr>
            <w:tcW w:w="2533" w:type="dxa"/>
            <w:shd w:val="clear" w:color="auto" w:fill="FFF4E8"/>
            <w:vAlign w:val="center"/>
          </w:tcPr>
          <w:p w:rsidR="00BE63A7" w:rsidRDefault="00BE63A7">
            <w:pPr>
              <w:spacing w:after="60"/>
              <w:jc w:val="center"/>
            </w:pPr>
            <w:r>
              <w:t>Вредители</w:t>
            </w:r>
          </w:p>
        </w:tc>
        <w:tc>
          <w:tcPr>
            <w:tcW w:w="2533" w:type="dxa"/>
            <w:shd w:val="clear" w:color="auto" w:fill="FFF4E8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Пшеница, ячмень, овес, рожь, кукуруза, подсолнечник, соя, картофель, фасоль, горох, шпинат, рапс, столовая свекла, сахарная свекла, морковь, пастернак</w:t>
            </w:r>
          </w:p>
        </w:tc>
        <w:tc>
          <w:tcPr>
            <w:tcW w:w="2533" w:type="dxa"/>
            <w:shd w:val="clear" w:color="auto" w:fill="FFF4E8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Ранняя, средняя, поздняя, уборочная</w:t>
            </w:r>
          </w:p>
        </w:tc>
        <w:tc>
          <w:tcPr>
            <w:tcW w:w="2533" w:type="dxa"/>
            <w:shd w:val="clear" w:color="auto" w:fill="FFF4E8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Сорняки, слабая обработка, стерня, влага</w:t>
            </w:r>
          </w:p>
        </w:tc>
        <w:tc>
          <w:tcPr>
            <w:tcW w:w="2533" w:type="dxa"/>
            <w:shd w:val="clear" w:color="auto" w:fill="FFF4E8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Опрыскиватель с инсектицидом,</w:t>
            </w:r>
          </w:p>
        </w:tc>
      </w:tr>
      <w:tr w:rsidR="00BE63A7" w:rsidTr="00BE63A7">
        <w:trPr>
          <w:trHeight w:val="1117"/>
        </w:trPr>
        <w:tc>
          <w:tcPr>
            <w:tcW w:w="2533" w:type="dxa"/>
            <w:shd w:val="clear" w:color="auto" w:fill="FFF4E8"/>
            <w:vAlign w:val="center"/>
          </w:tcPr>
          <w:p w:rsidR="00BE63A7" w:rsidRDefault="00BE63A7">
            <w:pPr>
              <w:spacing w:after="60"/>
            </w:pPr>
            <w:r>
              <w:t>Гусеницы</w:t>
            </w:r>
          </w:p>
        </w:tc>
        <w:tc>
          <w:tcPr>
            <w:tcW w:w="2533" w:type="dxa"/>
            <w:shd w:val="clear" w:color="auto" w:fill="FFF4E8"/>
            <w:vAlign w:val="center"/>
          </w:tcPr>
          <w:p w:rsidR="00BE63A7" w:rsidRDefault="00BE63A7">
            <w:pPr>
              <w:spacing w:after="60"/>
              <w:jc w:val="center"/>
            </w:pPr>
            <w:r>
              <w:t>Вредители</w:t>
            </w:r>
          </w:p>
        </w:tc>
        <w:tc>
          <w:tcPr>
            <w:tcW w:w="2533" w:type="dxa"/>
            <w:shd w:val="clear" w:color="auto" w:fill="FFF4E8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Кукуруза, соя, подсолнечник, хлопок, фасоль, горох, рапс</w:t>
            </w:r>
          </w:p>
        </w:tc>
        <w:tc>
          <w:tcPr>
            <w:tcW w:w="2533" w:type="dxa"/>
            <w:shd w:val="clear" w:color="auto" w:fill="FFF4E8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Ранняя, средняя, поздняя, уборочная</w:t>
            </w:r>
          </w:p>
        </w:tc>
        <w:tc>
          <w:tcPr>
            <w:tcW w:w="2533" w:type="dxa"/>
            <w:shd w:val="clear" w:color="auto" w:fill="FFF4E8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Недостаток обработки, сорняки, стерня, отсутствие прикатывания</w:t>
            </w:r>
          </w:p>
        </w:tc>
        <w:tc>
          <w:tcPr>
            <w:tcW w:w="2533" w:type="dxa"/>
            <w:shd w:val="clear" w:color="auto" w:fill="FFF4E8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Опрыскиватель с инсектицидом,</w:t>
            </w:r>
          </w:p>
        </w:tc>
      </w:tr>
      <w:tr w:rsidR="00BE63A7" w:rsidTr="00BE63A7">
        <w:trPr>
          <w:trHeight w:val="531"/>
        </w:trPr>
        <w:tc>
          <w:tcPr>
            <w:tcW w:w="2533" w:type="dxa"/>
            <w:shd w:val="clear" w:color="auto" w:fill="FFF4E8"/>
            <w:vAlign w:val="center"/>
          </w:tcPr>
          <w:p w:rsidR="00BE63A7" w:rsidRDefault="00BE63A7">
            <w:pPr>
              <w:spacing w:after="60"/>
            </w:pPr>
            <w:r>
              <w:lastRenderedPageBreak/>
              <w:t>Проволочник</w:t>
            </w:r>
          </w:p>
        </w:tc>
        <w:tc>
          <w:tcPr>
            <w:tcW w:w="2533" w:type="dxa"/>
            <w:shd w:val="clear" w:color="auto" w:fill="FFF4E8"/>
            <w:vAlign w:val="center"/>
          </w:tcPr>
          <w:p w:rsidR="00BE63A7" w:rsidRDefault="00BE63A7">
            <w:pPr>
              <w:spacing w:after="60"/>
              <w:jc w:val="center"/>
            </w:pPr>
            <w:r>
              <w:t>Вредители</w:t>
            </w:r>
          </w:p>
        </w:tc>
        <w:tc>
          <w:tcPr>
            <w:tcW w:w="2533" w:type="dxa"/>
            <w:shd w:val="clear" w:color="auto" w:fill="FFF4E8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Картофель, сахарная свекла, столовая свекла, морковь, пастернак, кукуруза</w:t>
            </w:r>
          </w:p>
        </w:tc>
        <w:tc>
          <w:tcPr>
            <w:tcW w:w="2533" w:type="dxa"/>
            <w:shd w:val="clear" w:color="auto" w:fill="FFF4E8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Ранняя, средняя, поздняя, уборочная</w:t>
            </w:r>
          </w:p>
        </w:tc>
        <w:tc>
          <w:tcPr>
            <w:tcW w:w="2533" w:type="dxa"/>
            <w:shd w:val="clear" w:color="auto" w:fill="FFF4E8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 xml:space="preserve">Отсутствие вспашки, стерня, нехватка </w:t>
            </w:r>
            <w:bookmarkStart w:id="0" w:name="_GoBack"/>
            <w:bookmarkEnd w:id="0"/>
            <w:r>
              <w:t>известкования, сорняки</w:t>
            </w:r>
          </w:p>
        </w:tc>
        <w:tc>
          <w:tcPr>
            <w:tcW w:w="2533" w:type="dxa"/>
            <w:shd w:val="clear" w:color="auto" w:fill="FFF4E8"/>
            <w:vAlign w:val="center"/>
          </w:tcPr>
          <w:p w:rsidR="00BE63A7" w:rsidRDefault="00BE63A7" w:rsidP="00BE63A7">
            <w:pPr>
              <w:spacing w:after="60"/>
              <w:jc w:val="center"/>
            </w:pPr>
            <w:r>
              <w:t>Культиватор, плуг</w:t>
            </w:r>
          </w:p>
        </w:tc>
      </w:tr>
    </w:tbl>
    <w:p w:rsidR="000514E5" w:rsidRDefault="00BE63A7">
      <w:r>
        <w:rPr>
          <w:b/>
          <w:sz w:val="28"/>
          <w:szCs w:val="28"/>
        </w:rPr>
        <w:t>Логика уничтожения и засыхания культур</w:t>
      </w:r>
    </w:p>
    <w:p w:rsidR="000514E5" w:rsidRDefault="00BE63A7">
      <w:pPr>
        <w:pStyle w:val="a5"/>
      </w:pPr>
      <w:r>
        <w:rPr>
          <w:sz w:val="24"/>
          <w:szCs w:val="24"/>
        </w:rPr>
        <w:t>• Если культура еще не дошла до стадии harvest_ready, применяется только уничтожение растений.</w:t>
      </w:r>
    </w:p>
    <w:p w:rsidR="000514E5" w:rsidRDefault="00BE63A7">
      <w:pPr>
        <w:pStyle w:val="a5"/>
      </w:pPr>
      <w:r>
        <w:rPr>
          <w:sz w:val="24"/>
          <w:szCs w:val="24"/>
        </w:rPr>
        <w:t>• Засохший вариант может появляться только тогда, когда культура уже находится в стадии готовности к уборке.</w:t>
      </w:r>
    </w:p>
    <w:p w:rsidR="000514E5" w:rsidRDefault="00BE63A7">
      <w:pPr>
        <w:pStyle w:val="a5"/>
      </w:pPr>
      <w:r>
        <w:rPr>
          <w:sz w:val="24"/>
          <w:szCs w:val="24"/>
        </w:rPr>
        <w:t>• На стадии h</w:t>
      </w:r>
      <w:r>
        <w:rPr>
          <w:sz w:val="24"/>
          <w:szCs w:val="24"/>
        </w:rPr>
        <w:t>arvest_ready могут встречаться оба результата: и уничтожение, и засохшая культура.</w:t>
      </w:r>
    </w:p>
    <w:p w:rsidR="000514E5" w:rsidRDefault="00BE63A7">
      <w:r>
        <w:rPr>
          <w:b/>
          <w:sz w:val="28"/>
          <w:szCs w:val="28"/>
        </w:rPr>
        <w:t>Практические выводы</w:t>
      </w:r>
    </w:p>
    <w:p w:rsidR="000514E5" w:rsidRDefault="00BE63A7">
      <w:pPr>
        <w:pStyle w:val="a5"/>
      </w:pPr>
      <w:r>
        <w:rPr>
          <w:sz w:val="24"/>
          <w:szCs w:val="24"/>
        </w:rPr>
        <w:t>• Для снятия вредителей через sprayer нужен именно fillType INSECTICIDE.</w:t>
      </w:r>
    </w:p>
    <w:p w:rsidR="000514E5" w:rsidRDefault="00BE63A7">
      <w:pPr>
        <w:pStyle w:val="a5"/>
      </w:pPr>
      <w:r>
        <w:rPr>
          <w:sz w:val="24"/>
          <w:szCs w:val="24"/>
        </w:rPr>
        <w:t>• Сорняки и стерня усиливают риск сразу для нескольких угроз, поэтому прополка и</w:t>
      </w:r>
      <w:r>
        <w:rPr>
          <w:sz w:val="24"/>
          <w:szCs w:val="24"/>
        </w:rPr>
        <w:t xml:space="preserve"> санитарная обработка поля особенно полезны.</w:t>
      </w:r>
    </w:p>
    <w:p w:rsidR="000514E5" w:rsidRDefault="00BE63A7">
      <w:pPr>
        <w:pStyle w:val="a5"/>
      </w:pPr>
      <w:r>
        <w:rPr>
          <w:sz w:val="24"/>
          <w:szCs w:val="24"/>
        </w:rPr>
        <w:t>• Корневые болезни и проволочник сильнее всего зависят от подготовки почвы, вспашки и культивации.</w:t>
      </w:r>
    </w:p>
    <w:p w:rsidR="000514E5" w:rsidRDefault="00BE63A7">
      <w:pPr>
        <w:pStyle w:val="a5"/>
      </w:pPr>
      <w:r>
        <w:rPr>
          <w:sz w:val="24"/>
          <w:szCs w:val="24"/>
        </w:rPr>
        <w:t>• На влажных полях болезни развиваются заметно охотнее, особенно на картофеле и зерновых.</w:t>
      </w:r>
    </w:p>
    <w:p w:rsidR="000514E5" w:rsidRDefault="00BE63A7">
      <w:pPr>
        <w:pStyle w:val="a5"/>
      </w:pPr>
      <w:r>
        <w:rPr>
          <w:sz w:val="24"/>
          <w:szCs w:val="24"/>
        </w:rPr>
        <w:t>• Чем раньше обработат</w:t>
      </w:r>
      <w:r>
        <w:rPr>
          <w:sz w:val="24"/>
          <w:szCs w:val="24"/>
        </w:rPr>
        <w:t>ь проблему, тем меньше просадка итогового урожая.</w:t>
      </w:r>
    </w:p>
    <w:p w:rsidR="000514E5" w:rsidRDefault="00BE63A7">
      <w:pPr>
        <w:pStyle w:val="Small"/>
      </w:pPr>
      <w:r>
        <w:rPr>
          <w:sz w:val="24"/>
          <w:szCs w:val="24"/>
        </w:rPr>
        <w:t>Обновлено: 09.04.2026</w:t>
      </w:r>
    </w:p>
    <w:sectPr w:rsidR="000514E5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19D2"/>
    <w:rsid w:val="000514E5"/>
    <w:rsid w:val="002E3AAC"/>
    <w:rsid w:val="00895EFA"/>
    <w:rsid w:val="009F19D2"/>
    <w:rsid w:val="00BE63A7"/>
    <w:rsid w:val="00BF1ED4"/>
    <w:rsid w:val="00F0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4D39B"/>
  <w15:docId w15:val="{79997640-6DA8-4971-81CC-8A9BD7211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spacing w:before="240"/>
      <w:outlineLvl w:val="0"/>
    </w:pPr>
    <w:rPr>
      <w:b/>
      <w:color w:val="1F3A5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uiPriority w:val="10"/>
    <w:qFormat/>
    <w:pPr>
      <w:spacing w:before="80" w:after="80"/>
    </w:pPr>
    <w:rPr>
      <w:b/>
      <w:sz w:val="36"/>
      <w:szCs w:val="36"/>
    </w:rPr>
  </w:style>
  <w:style w:type="paragraph" w:styleId="a4">
    <w:name w:val="Subtitle"/>
    <w:basedOn w:val="a"/>
    <w:uiPriority w:val="11"/>
    <w:qFormat/>
    <w:rPr>
      <w:sz w:val="24"/>
      <w:szCs w:val="24"/>
    </w:rPr>
  </w:style>
  <w:style w:type="paragraph" w:customStyle="1" w:styleId="Lead">
    <w:name w:val="Lead"/>
    <w:basedOn w:val="a"/>
    <w:qFormat/>
    <w:pPr>
      <w:spacing w:after="180"/>
      <w:jc w:val="center"/>
    </w:pPr>
    <w:rPr>
      <w:color w:val="4A5560"/>
    </w:rPr>
  </w:style>
  <w:style w:type="paragraph" w:styleId="a5">
    <w:name w:val="Body Text"/>
    <w:basedOn w:val="a"/>
    <w:qFormat/>
    <w:pPr>
      <w:spacing w:after="90"/>
    </w:pPr>
  </w:style>
  <w:style w:type="paragraph" w:customStyle="1" w:styleId="Small">
    <w:name w:val="Small"/>
    <w:basedOn w:val="a"/>
    <w:qFormat/>
    <w:pPr>
      <w:spacing w:before="160" w:after="0"/>
      <w:jc w:val="right"/>
    </w:pPr>
    <w:rPr>
      <w:color w:val="7A7A7A"/>
      <w:sz w:val="18"/>
      <w:szCs w:val="18"/>
    </w:rPr>
  </w:style>
  <w:style w:type="table" w:styleId="a6">
    <w:name w:val="Table Grid"/>
    <w:tblPr>
      <w:tblBorders>
        <w:top w:val="single" w:sz="6" w:space="0" w:color="D0D7DE"/>
        <w:left w:val="single" w:sz="6" w:space="0" w:color="D0D7DE"/>
        <w:bottom w:val="single" w:sz="6" w:space="0" w:color="D0D7DE"/>
        <w:right w:val="single" w:sz="6" w:space="0" w:color="D0D7DE"/>
        <w:insideH w:val="single" w:sz="4" w:space="0" w:color="E5E7EB"/>
        <w:insideV w:val="single" w:sz="4" w:space="0" w:color="E5E7EB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633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Crop Diseases BMP Guide RU</vt:lpstr>
      <vt:lpstr>Document</vt:lpstr>
    </vt:vector>
  </TitlesOfParts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Crop Diseases BMP Guide RU</dc:title>
  <dc:subject>FS25 Crop Diseases BMP</dc:subject>
  <dc:creator>Codex</dc:creator>
  <cp:keywords>FS25; diseases; pests; guide</cp:keywords>
  <dc:description>Русский справочник по болезням и вредителям мода FS25_CropDiseases_BMP</dc:description>
  <cp:lastModifiedBy>Koldun</cp:lastModifiedBy>
  <cp:revision>4</cp:revision>
  <dcterms:created xsi:type="dcterms:W3CDTF">2026-04-03T15:32:00Z</dcterms:created>
  <dcterms:modified xsi:type="dcterms:W3CDTF">2026-04-09T16:30:00Z</dcterms:modified>
</cp:coreProperties>
</file>